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F24" w:rsidRDefault="005847A3">
      <w:pPr>
        <w:spacing w:after="240" w:line="240" w:lineRule="auto"/>
        <w:ind w:left="142" w:right="394"/>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23 (HMRC Terms)</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FF3F24" w:rsidRDefault="005847A3">
      <w:pPr>
        <w:keepNext/>
        <w:numPr>
          <w:ilvl w:val="1"/>
          <w:numId w:val="1"/>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
        <w:tblW w:w="8918" w:type="dxa"/>
        <w:tblInd w:w="108" w:type="dxa"/>
        <w:tblLayout w:type="fixed"/>
        <w:tblLook w:val="0000" w:firstRow="0" w:lastRow="0" w:firstColumn="0" w:lastColumn="0" w:noHBand="0" w:noVBand="0"/>
      </w:tblPr>
      <w:tblGrid>
        <w:gridCol w:w="2292"/>
        <w:gridCol w:w="6626"/>
      </w:tblGrid>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rsidR="00FF3F24" w:rsidRDefault="005847A3">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rsidR="00FF3F24" w:rsidRDefault="00FF3F24">
            <w:pPr>
              <w:spacing w:after="240" w:line="240" w:lineRule="auto"/>
              <w:jc w:val="both"/>
              <w:rPr>
                <w:rFonts w:ascii="Arial" w:eastAsia="Arial" w:hAnsi="Arial" w:cs="Arial"/>
                <w:sz w:val="24"/>
                <w:szCs w:val="24"/>
              </w:rPr>
            </w:pPr>
          </w:p>
        </w:tc>
      </w:tr>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rsidR="00FF3F24" w:rsidRDefault="005847A3">
            <w:pPr>
              <w:spacing w:after="0" w:line="240" w:lineRule="auto"/>
              <w:jc w:val="both"/>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w:t>
            </w:r>
            <w:r>
              <w:rPr>
                <w:rFonts w:ascii="Arial" w:eastAsia="Arial" w:hAnsi="Arial" w:cs="Arial"/>
                <w:sz w:val="24"/>
                <w:szCs w:val="24"/>
              </w:rPr>
              <w:t>shall be interpreted accordingly;</w:t>
            </w:r>
          </w:p>
          <w:p w:rsidR="00FF3F24" w:rsidRDefault="00FF3F24">
            <w:pPr>
              <w:spacing w:after="240" w:line="240" w:lineRule="auto"/>
              <w:jc w:val="both"/>
              <w:rPr>
                <w:rFonts w:ascii="Arial" w:eastAsia="Arial" w:hAnsi="Arial" w:cs="Arial"/>
                <w:sz w:val="24"/>
                <w:szCs w:val="24"/>
              </w:rPr>
            </w:pPr>
          </w:p>
        </w:tc>
      </w:tr>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rsidR="00FF3F24" w:rsidRDefault="005847A3">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any arrangements involving the use of off-shore companies or other off-shore entities the main purpose, or one of the main purposes, of which is to achieve a reduction in United Kingdom Tax of an</w:t>
            </w:r>
            <w:r>
              <w:rPr>
                <w:rFonts w:ascii="Arial" w:eastAsia="Arial" w:hAnsi="Arial" w:cs="Arial"/>
                <w:color w:val="000000"/>
                <w:sz w:val="24"/>
                <w:szCs w:val="24"/>
              </w:rPr>
              <w:t xml:space="preserve">y description otherwise payable by the Supplier or a Connected Company on or in connection with the Charges; or </w:t>
            </w:r>
          </w:p>
          <w:p w:rsidR="00FF3F24" w:rsidRDefault="00FF3F24">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rsidR="00FF3F24" w:rsidRDefault="005847A3">
            <w:pPr>
              <w:numPr>
                <w:ilvl w:val="0"/>
                <w:numId w:val="2"/>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rsidR="00FF3F24" w:rsidRDefault="00FF3F24">
            <w:pPr>
              <w:pBdr>
                <w:top w:val="nil"/>
                <w:left w:val="nil"/>
                <w:bottom w:val="nil"/>
                <w:right w:val="nil"/>
                <w:between w:val="nil"/>
              </w:pBdr>
              <w:ind w:left="720"/>
              <w:rPr>
                <w:rFonts w:ascii="Arial" w:eastAsia="Arial" w:hAnsi="Arial" w:cs="Arial"/>
                <w:color w:val="000000"/>
                <w:sz w:val="24"/>
                <w:szCs w:val="24"/>
              </w:rPr>
            </w:pPr>
          </w:p>
          <w:p w:rsidR="00FF3F24" w:rsidRDefault="005847A3">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w:t>
            </w:r>
            <w:r>
              <w:rPr>
                <w:rFonts w:ascii="Arial" w:eastAsia="Arial" w:hAnsi="Arial" w:cs="Arial"/>
                <w:sz w:val="24"/>
                <w:szCs w:val="24"/>
              </w:rPr>
              <w:t>ts Connected Companies or a Key Subcontractor and its Connected Companies on terms which are at arms-length and are entered into in the ordinary course of the transacting parties’ business;</w:t>
            </w:r>
          </w:p>
          <w:p w:rsidR="00FF3F24" w:rsidRDefault="00FF3F24">
            <w:pPr>
              <w:spacing w:after="240" w:line="240" w:lineRule="auto"/>
              <w:jc w:val="both"/>
              <w:rPr>
                <w:rFonts w:ascii="Arial" w:eastAsia="Arial" w:hAnsi="Arial" w:cs="Arial"/>
                <w:sz w:val="24"/>
                <w:szCs w:val="24"/>
              </w:rPr>
            </w:pPr>
            <w:bookmarkStart w:id="1" w:name="_GoBack"/>
            <w:bookmarkEnd w:id="1"/>
          </w:p>
        </w:tc>
      </w:tr>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rsidR="00FF3F24" w:rsidRDefault="005847A3">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rsidR="00FF3F24" w:rsidRDefault="005847A3">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FF3F24">
        <w:tc>
          <w:tcPr>
            <w:tcW w:w="2292" w:type="dxa"/>
          </w:tcPr>
          <w:p w:rsidR="00FF3F24" w:rsidRDefault="005847A3">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“Tax Compliance Failure”</w:t>
            </w:r>
          </w:p>
          <w:p w:rsidR="00FF3F24" w:rsidRDefault="00FF3F24">
            <w:pPr>
              <w:spacing w:after="240" w:line="240" w:lineRule="auto"/>
              <w:ind w:left="209"/>
              <w:rPr>
                <w:rFonts w:ascii="Arial" w:eastAsia="Arial" w:hAnsi="Arial" w:cs="Arial"/>
                <w:b/>
                <w:sz w:val="24"/>
                <w:szCs w:val="24"/>
              </w:rPr>
            </w:pPr>
          </w:p>
        </w:tc>
        <w:tc>
          <w:tcPr>
            <w:tcW w:w="6626" w:type="dxa"/>
          </w:tcPr>
          <w:p w:rsidR="00FF3F24" w:rsidRDefault="005847A3">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w:t>
            </w:r>
            <w:r>
              <w:rPr>
                <w:rFonts w:ascii="Arial" w:eastAsia="Arial" w:hAnsi="Arial" w:cs="Arial"/>
                <w:sz w:val="24"/>
                <w:szCs w:val="24"/>
              </w:rPr>
              <w:t>rson under consideration meets all 3 conditions contained in the relevant excerpt from HMRC’s “Test for Tax Non-Compliance”, as set out in Annex 1 (as amended and updated from time to time), where:</w:t>
            </w:r>
          </w:p>
          <w:p w:rsidR="00FF3F24" w:rsidRDefault="005847A3">
            <w:pPr>
              <w:numPr>
                <w:ilvl w:val="0"/>
                <w:numId w:val="8"/>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rsidR="00FF3F24" w:rsidRDefault="00FF3F24">
            <w:pPr>
              <w:pBdr>
                <w:top w:val="nil"/>
                <w:left w:val="nil"/>
                <w:bottom w:val="nil"/>
                <w:right w:val="nil"/>
                <w:between w:val="nil"/>
              </w:pBdr>
              <w:spacing w:after="0" w:line="240" w:lineRule="auto"/>
              <w:ind w:left="405"/>
              <w:rPr>
                <w:rFonts w:ascii="Arial" w:eastAsia="Arial" w:hAnsi="Arial" w:cs="Arial"/>
                <w:color w:val="000000"/>
                <w:sz w:val="24"/>
                <w:szCs w:val="24"/>
              </w:rPr>
            </w:pPr>
          </w:p>
          <w:p w:rsidR="00FF3F24" w:rsidRDefault="005847A3">
            <w:pPr>
              <w:numPr>
                <w:ilvl w:val="0"/>
                <w:numId w:val="8"/>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Exclusion of certain Core Terms and terms of Schedules</w:t>
      </w:r>
    </w:p>
    <w:p w:rsidR="00FF3F24" w:rsidRDefault="005847A3">
      <w:pPr>
        <w:pStyle w:val="Heading2"/>
        <w:keepNext w:val="0"/>
        <w:keepLines w:val="0"/>
        <w:numPr>
          <w:ilvl w:val="1"/>
          <w:numId w:val="1"/>
        </w:numPr>
        <w:spacing w:line="240" w:lineRule="auto"/>
        <w:ind w:left="1559" w:hanging="566"/>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 modified in respect of the Framework Contract):</w:t>
      </w:r>
    </w:p>
    <w:p w:rsidR="00FF3F24" w:rsidRDefault="00FF3F24">
      <w:pPr>
        <w:spacing w:after="0"/>
      </w:pPr>
    </w:p>
    <w:p w:rsidR="00FF3F24" w:rsidRDefault="005847A3">
      <w:pPr>
        <w:pStyle w:val="Heading2"/>
        <w:keepNext w:val="0"/>
        <w:keepLines w:val="0"/>
        <w:numPr>
          <w:ilvl w:val="2"/>
          <w:numId w:val="1"/>
        </w:numPr>
        <w:spacing w:before="0" w:after="240" w:line="240" w:lineRule="auto"/>
        <w:ind w:left="2409" w:hanging="708"/>
        <w:jc w:val="both"/>
        <w:rPr>
          <w:rFonts w:ascii="Arial" w:eastAsia="Arial" w:hAnsi="Arial" w:cs="Arial"/>
          <w:color w:val="000000"/>
          <w:sz w:val="24"/>
          <w:szCs w:val="24"/>
        </w:rPr>
      </w:pPr>
      <w:r>
        <w:rPr>
          <w:rFonts w:ascii="Arial" w:eastAsia="Arial" w:hAnsi="Arial" w:cs="Arial"/>
          <w:color w:val="000000"/>
          <w:sz w:val="24"/>
          <w:szCs w:val="24"/>
        </w:rPr>
        <w:t>Claus</w:t>
      </w:r>
      <w:r>
        <w:rPr>
          <w:rFonts w:ascii="Arial" w:eastAsia="Arial" w:hAnsi="Arial" w:cs="Arial"/>
          <w:color w:val="000000"/>
          <w:sz w:val="24"/>
          <w:szCs w:val="24"/>
        </w:rPr>
        <w:t>es 31.1, 31.2, 31.3 and 31.4(d) of the Core Terms do not apply to that Call-Off Contract, but for the avoidance of doubt, the remainder of Clause 31.4 of the Core Terms shall continue to apply to the Call-Off Contract; and</w:t>
      </w:r>
    </w:p>
    <w:p w:rsidR="00FF3F24" w:rsidRDefault="005847A3">
      <w:pPr>
        <w:pStyle w:val="Heading2"/>
        <w:keepNext w:val="0"/>
        <w:keepLines w:val="0"/>
        <w:numPr>
          <w:ilvl w:val="2"/>
          <w:numId w:val="1"/>
        </w:numPr>
        <w:spacing w:before="0" w:after="240" w:line="240" w:lineRule="auto"/>
        <w:ind w:left="2409" w:hanging="708"/>
        <w:jc w:val="both"/>
      </w:pPr>
      <w:r>
        <w:rPr>
          <w:rFonts w:ascii="Arial" w:eastAsia="Arial" w:hAnsi="Arial" w:cs="Arial"/>
          <w:color w:val="000000"/>
          <w:sz w:val="24"/>
          <w:szCs w:val="24"/>
        </w:rPr>
        <w:t>Clause 7.2 of the Core Terms does</w:t>
      </w:r>
      <w:r>
        <w:rPr>
          <w:rFonts w:ascii="Arial" w:eastAsia="Arial" w:hAnsi="Arial" w:cs="Arial"/>
          <w:color w:val="000000"/>
          <w:sz w:val="24"/>
          <w:szCs w:val="24"/>
        </w:rPr>
        <w:t xml:space="preserve"> not apply to that Call-Off Contract.</w:t>
      </w:r>
    </w:p>
    <w:p w:rsidR="00FF3F24" w:rsidRDefault="00FF3F24"/>
    <w:p w:rsidR="00FF3F24" w:rsidRDefault="005847A3">
      <w:pPr>
        <w:pStyle w:val="Heading2"/>
        <w:keepNext w:val="0"/>
        <w:keepLines w:val="0"/>
        <w:numPr>
          <w:ilvl w:val="1"/>
          <w:numId w:val="1"/>
        </w:numPr>
        <w:spacing w:line="240" w:lineRule="auto"/>
        <w:ind w:left="1559" w:hanging="566"/>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Joint Schedules are modified in respect of that Call-Off Contract (but are not disapplied</w:t>
      </w:r>
      <w:r>
        <w:rPr>
          <w:rFonts w:ascii="Arial" w:eastAsia="Arial" w:hAnsi="Arial" w:cs="Arial"/>
          <w:color w:val="000000"/>
          <w:sz w:val="24"/>
          <w:szCs w:val="24"/>
        </w:rPr>
        <w:t xml:space="preserve"> in respect of the Framework Contract):</w:t>
      </w:r>
    </w:p>
    <w:p w:rsidR="00FF3F24" w:rsidRDefault="00FF3F24"/>
    <w:p w:rsidR="00FF3F24" w:rsidRDefault="005847A3">
      <w:pPr>
        <w:pStyle w:val="Heading2"/>
        <w:keepNext w:val="0"/>
        <w:keepLines w:val="0"/>
        <w:numPr>
          <w:ilvl w:val="2"/>
          <w:numId w:val="1"/>
        </w:numPr>
        <w:spacing w:line="240" w:lineRule="auto"/>
        <w:ind w:hanging="708"/>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rsidR="00FF3F24" w:rsidRDefault="00FF3F24"/>
    <w:p w:rsidR="00FF3F24" w:rsidRDefault="005847A3">
      <w:pPr>
        <w:pStyle w:val="Heading2"/>
        <w:keepNext w:val="0"/>
        <w:keepLines w:val="0"/>
        <w:numPr>
          <w:ilvl w:val="2"/>
          <w:numId w:val="1"/>
        </w:numPr>
        <w:spacing w:line="240" w:lineRule="auto"/>
        <w:ind w:hanging="708"/>
        <w:jc w:val="both"/>
        <w:rPr>
          <w:rFonts w:ascii="Arial" w:eastAsia="Arial" w:hAnsi="Arial" w:cs="Arial"/>
          <w:color w:val="000000"/>
          <w:sz w:val="24"/>
          <w:szCs w:val="24"/>
        </w:rPr>
      </w:pPr>
      <w:r>
        <w:rPr>
          <w:rFonts w:ascii="Arial" w:eastAsia="Arial" w:hAnsi="Arial" w:cs="Arial"/>
          <w:color w:val="000000"/>
          <w:sz w:val="24"/>
          <w:szCs w:val="24"/>
        </w:rPr>
        <w:t>paragraph 5(d) of Joint Schedule 11 (Processing Data) does not apply to that Call-Off Contract.</w:t>
      </w:r>
    </w:p>
    <w:p w:rsidR="00FF3F24" w:rsidRDefault="00FF3F24"/>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rsidR="00FF3F24" w:rsidRDefault="005847A3">
      <w:pPr>
        <w:pStyle w:val="Heading2"/>
        <w:keepNext w:val="0"/>
        <w:keepLines w:val="0"/>
        <w:numPr>
          <w:ilvl w:val="1"/>
          <w:numId w:val="1"/>
        </w:numPr>
        <w:spacing w:line="240" w:lineRule="auto"/>
        <w:ind w:left="1559" w:hanging="566"/>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invoice the Buyer as specified in Clause 4 of the Core Terms as modified by any Framework Special</w:t>
      </w:r>
      <w:r>
        <w:rPr>
          <w:rFonts w:ascii="Arial" w:eastAsia="Arial" w:hAnsi="Arial" w:cs="Arial"/>
          <w:color w:val="000000"/>
          <w:sz w:val="24"/>
          <w:szCs w:val="24"/>
        </w:rPr>
        <w:t xml:space="preserve"> Terms or any Call-Off Special Terms. </w:t>
      </w:r>
    </w:p>
    <w:p w:rsidR="00FF3F24" w:rsidRDefault="00FF3F24"/>
    <w:p w:rsidR="00FF3F24" w:rsidRDefault="005847A3">
      <w:pPr>
        <w:pStyle w:val="Heading2"/>
        <w:keepNext w:val="0"/>
        <w:keepLines w:val="0"/>
        <w:numPr>
          <w:ilvl w:val="1"/>
          <w:numId w:val="1"/>
        </w:numPr>
        <w:spacing w:before="0" w:after="240" w:line="240" w:lineRule="auto"/>
        <w:ind w:left="1559" w:hanging="566"/>
        <w:jc w:val="both"/>
        <w:rPr>
          <w:rFonts w:ascii="Arial" w:eastAsia="Arial" w:hAnsi="Arial" w:cs="Arial"/>
          <w:color w:val="000000"/>
          <w:sz w:val="24"/>
          <w:szCs w:val="24"/>
        </w:rPr>
      </w:pPr>
      <w:r>
        <w:rPr>
          <w:rFonts w:ascii="Arial" w:eastAsia="Arial" w:hAnsi="Arial" w:cs="Arial"/>
          <w:color w:val="000000"/>
          <w:sz w:val="24"/>
          <w:szCs w:val="24"/>
        </w:rPr>
        <w:lastRenderedPageBreak/>
        <w:t>In addition to the provisions of Clause 4 of the Core Terms and any applicable Framework Special Term or Call-Off Special Term, the Supplier shall procure a Purchase Order Number from the Buyer before any Deliverable</w:t>
      </w:r>
      <w:r>
        <w:rPr>
          <w:rFonts w:ascii="Arial" w:eastAsia="Arial" w:hAnsi="Arial" w:cs="Arial"/>
          <w:color w:val="000000"/>
          <w:sz w:val="24"/>
          <w:szCs w:val="24"/>
        </w:rPr>
        <w:t xml:space="preserve">s are supplied. Should the Supplier supply Deliverables without a Purchase Order Number: </w:t>
      </w:r>
    </w:p>
    <w:p w:rsidR="00FF3F24" w:rsidRDefault="005847A3">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does so at its own risk; and</w:t>
      </w:r>
    </w:p>
    <w:p w:rsidR="00FF3F24" w:rsidRDefault="005847A3">
      <w:pPr>
        <w:pStyle w:val="Heading2"/>
        <w:keepNext w:val="0"/>
        <w:keepLines w:val="0"/>
        <w:numPr>
          <w:ilvl w:val="2"/>
          <w:numId w:val="1"/>
        </w:numPr>
        <w:spacing w:before="0" w:after="240" w:line="240" w:lineRule="auto"/>
        <w:ind w:left="2409" w:hanging="70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p>
    <w:p w:rsidR="00FF3F24" w:rsidRDefault="005847A3">
      <w:pPr>
        <w:pStyle w:val="Heading2"/>
        <w:keepNext w:val="0"/>
        <w:keepLines w:val="0"/>
        <w:numPr>
          <w:ilvl w:val="1"/>
          <w:numId w:val="1"/>
        </w:numPr>
        <w:spacing w:before="0" w:after="240" w:line="240" w:lineRule="auto"/>
        <w:ind w:left="1700" w:hanging="708"/>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w:t>
      </w:r>
      <w:r>
        <w:rPr>
          <w:rFonts w:ascii="Arial" w:eastAsia="Arial" w:hAnsi="Arial" w:cs="Arial"/>
          <w:color w:val="000000"/>
          <w:sz w:val="24"/>
          <w:szCs w:val="24"/>
        </w:rPr>
        <w:t xml:space="preserve"> any applicable Framework Special Term or Call-Off Special Term, as directed by the Buyer from time to time, either: </w:t>
      </w:r>
    </w:p>
    <w:p w:rsidR="00FF3F24" w:rsidRDefault="005847A3">
      <w:pPr>
        <w:pStyle w:val="Heading2"/>
        <w:keepNext w:val="0"/>
        <w:keepLines w:val="0"/>
        <w:numPr>
          <w:ilvl w:val="2"/>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rsidR="00FF3F24" w:rsidRDefault="005847A3">
      <w:pPr>
        <w:pStyle w:val="Heading2"/>
        <w:keepNext w:val="0"/>
        <w:keepLines w:val="0"/>
        <w:numPr>
          <w:ilvl w:val="2"/>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w:t>
      </w:r>
      <w:r>
        <w:rPr>
          <w:rFonts w:ascii="Arial" w:eastAsia="Arial" w:hAnsi="Arial" w:cs="Arial"/>
          <w:color w:val="000000"/>
          <w:sz w:val="24"/>
          <w:szCs w:val="24"/>
        </w:rPr>
        <w:t>rson notified to the Supplier in writing by the Buyer) by email in pdf format or, if agreed with the Buyer, in hard copy by post.</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rsidR="00FF3F24" w:rsidRDefault="005847A3">
      <w:pPr>
        <w:pStyle w:val="Heading2"/>
        <w:keepNext w:val="0"/>
        <w:keepLines w:val="0"/>
        <w:numPr>
          <w:ilvl w:val="2"/>
          <w:numId w:val="1"/>
        </w:numPr>
        <w:spacing w:before="0" w:after="240" w:line="240" w:lineRule="auto"/>
        <w:ind w:left="2551" w:hanging="850"/>
        <w:jc w:val="both"/>
        <w:rPr>
          <w:rFonts w:ascii="Arial" w:eastAsia="Arial" w:hAnsi="Arial" w:cs="Arial"/>
          <w:sz w:val="24"/>
          <w:szCs w:val="24"/>
        </w:rPr>
      </w:pPr>
      <w:bookmarkStart w:id="4" w:name="_heading=h.3znysh7" w:colFirst="0" w:colLast="0"/>
      <w:bookmarkEnd w:id="4"/>
      <w:r>
        <w:rPr>
          <w:rFonts w:ascii="Arial" w:eastAsia="Arial" w:hAnsi="Arial" w:cs="Arial"/>
          <w:color w:val="000000"/>
          <w:sz w:val="24"/>
          <w:szCs w:val="24"/>
        </w:rPr>
        <w:t>in the three years prior to the Effective Date, it has complied with all</w:t>
      </w:r>
      <w:r>
        <w:rPr>
          <w:rFonts w:ascii="Arial" w:eastAsia="Arial" w:hAnsi="Arial" w:cs="Arial"/>
          <w:color w:val="000000"/>
          <w:sz w:val="24"/>
          <w:szCs w:val="24"/>
        </w:rPr>
        <w:t xml:space="preserve"> applicable Law related to Tax in the United Kingdom and in the jurisdiction in which it is established;</w:t>
      </w:r>
    </w:p>
    <w:p w:rsidR="00FF3F24" w:rsidRDefault="005847A3">
      <w:pPr>
        <w:pStyle w:val="Heading2"/>
        <w:keepNext w:val="0"/>
        <w:keepLines w:val="0"/>
        <w:numPr>
          <w:ilvl w:val="2"/>
          <w:numId w:val="1"/>
        </w:numPr>
        <w:spacing w:before="0" w:after="240" w:line="240" w:lineRule="auto"/>
        <w:ind w:left="2551" w:hanging="850"/>
        <w:jc w:val="both"/>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it has notified the Buyer in writing of any Tax Compliance Failure it is involved in; and</w:t>
      </w:r>
    </w:p>
    <w:p w:rsidR="00FF3F24" w:rsidRDefault="005847A3">
      <w:pPr>
        <w:pStyle w:val="Heading2"/>
        <w:keepNext w:val="0"/>
        <w:keepLines w:val="0"/>
        <w:numPr>
          <w:ilvl w:val="2"/>
          <w:numId w:val="1"/>
        </w:numPr>
        <w:spacing w:before="0" w:after="240" w:line="240" w:lineRule="auto"/>
        <w:ind w:left="2551" w:hanging="850"/>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no proceedings or other steps have been taken (nor, to the best of the Supplier’s knowledge, are threatened) for:</w:t>
      </w:r>
    </w:p>
    <w:p w:rsidR="00FF3F24" w:rsidRDefault="005847A3">
      <w:pPr>
        <w:pStyle w:val="Heading2"/>
        <w:keepNext w:val="0"/>
        <w:keepLines w:val="0"/>
        <w:numPr>
          <w:ilvl w:val="3"/>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rsidR="00FF3F24" w:rsidRDefault="005847A3">
      <w:pPr>
        <w:pStyle w:val="Heading2"/>
        <w:keepNext w:val="0"/>
        <w:keepLines w:val="0"/>
        <w:numPr>
          <w:ilvl w:val="3"/>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rsidR="00FF3F24" w:rsidRDefault="005847A3">
      <w:pPr>
        <w:pStyle w:val="Heading2"/>
        <w:keepNext w:val="0"/>
        <w:keepLines w:val="0"/>
        <w:numPr>
          <w:ilvl w:val="3"/>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w:t>
      </w:r>
      <w:r>
        <w:rPr>
          <w:rFonts w:ascii="Arial" w:eastAsia="Arial" w:hAnsi="Arial" w:cs="Arial"/>
          <w:color w:val="000000"/>
          <w:sz w:val="24"/>
          <w:szCs w:val="24"/>
        </w:rPr>
        <w:t>dministrator or similar officer in relation to any of the Supplier’s assets or revenue,</w:t>
      </w:r>
    </w:p>
    <w:p w:rsidR="00FF3F24" w:rsidRDefault="005847A3">
      <w:pPr>
        <w:pStyle w:val="Heading2"/>
        <w:keepNext w:val="0"/>
        <w:keepLines w:val="0"/>
        <w:spacing w:before="0" w:after="240" w:line="240" w:lineRule="auto"/>
        <w:ind w:left="2409"/>
        <w:jc w:val="both"/>
        <w:rPr>
          <w:rFonts w:ascii="Arial" w:eastAsia="Arial" w:hAnsi="Arial" w:cs="Arial"/>
          <w:color w:val="000000"/>
          <w:sz w:val="24"/>
          <w:szCs w:val="24"/>
        </w:rPr>
      </w:pPr>
      <w:r>
        <w:rPr>
          <w:rFonts w:ascii="Arial" w:eastAsia="Arial" w:hAnsi="Arial" w:cs="Arial"/>
          <w:color w:val="000000"/>
          <w:sz w:val="24"/>
          <w:szCs w:val="24"/>
        </w:rPr>
        <w:t>and the Supplier has notified the Buyer of any profit warnings it has issued in the three years prior to the Effective Date.</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lastRenderedPageBreak/>
        <w:t>If the Supplier becomes aware that any of the representations or warranties under Paragraphs 4.1.1, 4.1.2 and/or 4.1.3 have been breached, are untrue or misleading, it shall immediately notify the Buyer in sufficient detail to enable the Buyer to make an a</w:t>
      </w:r>
      <w:r>
        <w:rPr>
          <w:rFonts w:ascii="Arial" w:eastAsia="Arial" w:hAnsi="Arial" w:cs="Arial"/>
          <w:color w:val="000000"/>
          <w:sz w:val="24"/>
          <w:szCs w:val="24"/>
        </w:rPr>
        <w:t xml:space="preserve">ccurate assessment of the situation.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10.4.1 of the Core Terms applies and Clauses 10.6.1 and 10.6.2 of the Co</w:t>
      </w:r>
      <w:r>
        <w:rPr>
          <w:rFonts w:ascii="Arial" w:eastAsia="Arial" w:hAnsi="Arial" w:cs="Arial"/>
          <w:color w:val="000000"/>
          <w:sz w:val="24"/>
          <w:szCs w:val="24"/>
        </w:rPr>
        <w:t>re Terms shall apply as if the Contract had been terminated under Clause 10.4.1.</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Promoting Tax Compliance</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The Supplier shall provide to the Buyer the name and, as applicable, the Value Added Tax registration number, PAYE collection number and either the Corporation Tax or self-assessment reference of any agent, supplier or Subcontractor of the Supplier prior t</w:t>
      </w:r>
      <w:r>
        <w:rPr>
          <w:rFonts w:ascii="Arial" w:eastAsia="Arial" w:hAnsi="Arial" w:cs="Arial"/>
          <w:color w:val="000000"/>
          <w:sz w:val="24"/>
          <w:szCs w:val="24"/>
        </w:rPr>
        <w:t xml:space="preserve">o that person supplying any material Deliverables under the Contract. </w:t>
      </w:r>
    </w:p>
    <w:p w:rsidR="00FF3F24" w:rsidRDefault="005847A3">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Upon a request by the Buyer, the Supplier shall not contract, or will cease to contract, with any agent, supplier or Subcontractor of the Supplier engaged in supplying Deliverables unde</w:t>
      </w:r>
      <w:r>
        <w:rPr>
          <w:rFonts w:ascii="Arial" w:eastAsia="Arial" w:hAnsi="Arial" w:cs="Arial"/>
          <w:color w:val="000000"/>
          <w:sz w:val="24"/>
          <w:szCs w:val="24"/>
        </w:rPr>
        <w:t xml:space="preserve">r the Contract.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during the Call-Off Contract Period, there is a Tax Compliance Failure, the Supplier shall:</w:t>
      </w:r>
    </w:p>
    <w:p w:rsidR="00FF3F24" w:rsidRDefault="005847A3">
      <w:pPr>
        <w:pStyle w:val="Heading2"/>
        <w:keepNext w:val="0"/>
        <w:keepLines w:val="0"/>
        <w:numPr>
          <w:ilvl w:val="2"/>
          <w:numId w:val="1"/>
        </w:numPr>
        <w:spacing w:before="0" w:after="240" w:line="240" w:lineRule="auto"/>
        <w:jc w:val="both"/>
        <w:rPr>
          <w:rFonts w:ascii="Arial" w:eastAsia="Arial" w:hAnsi="Arial" w:cs="Arial"/>
          <w:sz w:val="24"/>
          <w:szCs w:val="24"/>
        </w:rPr>
      </w:pPr>
      <w:bookmarkStart w:id="11" w:name="_heading=h.17dp8vu" w:colFirst="0" w:colLast="0"/>
      <w:bookmarkEnd w:id="11"/>
      <w:r>
        <w:rPr>
          <w:rFonts w:ascii="Arial" w:eastAsia="Arial" w:hAnsi="Arial" w:cs="Arial"/>
          <w:color w:val="000000"/>
          <w:sz w:val="24"/>
          <w:szCs w:val="24"/>
        </w:rPr>
        <w:t>notify the Buyer in writing within five (5) Working Days of its occurrence; and</w:t>
      </w:r>
    </w:p>
    <w:p w:rsidR="00FF3F24" w:rsidRDefault="005847A3">
      <w:pPr>
        <w:pStyle w:val="Heading2"/>
        <w:keepNext w:val="0"/>
        <w:keepLines w:val="0"/>
        <w:numPr>
          <w:ilvl w:val="2"/>
          <w:numId w:val="1"/>
        </w:numPr>
        <w:spacing w:before="0" w:after="240" w:line="240" w:lineRule="auto"/>
        <w:jc w:val="both"/>
        <w:rPr>
          <w:rFonts w:ascii="Arial" w:eastAsia="Arial" w:hAnsi="Arial" w:cs="Arial"/>
          <w:sz w:val="24"/>
          <w:szCs w:val="24"/>
        </w:rPr>
      </w:pPr>
      <w:bookmarkStart w:id="12" w:name="_heading=h.3rdcrjn" w:colFirst="0" w:colLast="0"/>
      <w:bookmarkEnd w:id="12"/>
      <w:r>
        <w:rPr>
          <w:rFonts w:ascii="Arial" w:eastAsia="Arial" w:hAnsi="Arial" w:cs="Arial"/>
          <w:color w:val="000000"/>
          <w:sz w:val="24"/>
          <w:szCs w:val="24"/>
        </w:rPr>
        <w:t>promptly provide to the Buyer:</w:t>
      </w:r>
    </w:p>
    <w:p w:rsidR="00FF3F24" w:rsidRDefault="005847A3">
      <w:pPr>
        <w:pStyle w:val="Heading2"/>
        <w:keepNext w:val="0"/>
        <w:keepLines w:val="0"/>
        <w:numPr>
          <w:ilvl w:val="3"/>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rsidR="00FF3F24" w:rsidRDefault="005847A3">
      <w:pPr>
        <w:pStyle w:val="Heading2"/>
        <w:keepNext w:val="0"/>
        <w:keepLines w:val="0"/>
        <w:numPr>
          <w:ilvl w:val="3"/>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w:t>
      </w:r>
      <w:r>
        <w:rPr>
          <w:rFonts w:ascii="Arial" w:eastAsia="Arial" w:hAnsi="Arial" w:cs="Arial"/>
          <w:color w:val="000000"/>
          <w:sz w:val="24"/>
          <w:szCs w:val="24"/>
        </w:rPr>
        <w:t xml:space="preserve"> as the Buyer may reasonably require.</w:t>
      </w:r>
    </w:p>
    <w:p w:rsidR="00FF3F24" w:rsidRDefault="005847A3">
      <w:pPr>
        <w:pStyle w:val="Heading2"/>
        <w:keepNext w:val="0"/>
        <w:keepLines w:val="0"/>
        <w:numPr>
          <w:ilvl w:val="1"/>
          <w:numId w:val="1"/>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w:t>
      </w:r>
      <w:r>
        <w:rPr>
          <w:rFonts w:ascii="Arial" w:eastAsia="Arial" w:hAnsi="Arial" w:cs="Arial"/>
          <w:color w:val="000000"/>
          <w:sz w:val="24"/>
          <w:szCs w:val="24"/>
        </w:rPr>
        <w:t xml:space="preserve">payments made to the Supplier under this Contract.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Any amounts due under Paragraph 5.5 shall be paid not less than five (5) Working Days before the date upon which the Tax or other liability is </w:t>
      </w:r>
      <w:r>
        <w:rPr>
          <w:rFonts w:ascii="Arial" w:eastAsia="Arial" w:hAnsi="Arial" w:cs="Arial"/>
          <w:color w:val="000000"/>
          <w:sz w:val="24"/>
          <w:szCs w:val="24"/>
        </w:rPr>
        <w:lastRenderedPageBreak/>
        <w:t>payable by the Buyer.  Any amounts due under Paragraph 5.5 sh</w:t>
      </w:r>
      <w:r>
        <w:rPr>
          <w:rFonts w:ascii="Arial" w:eastAsia="Arial" w:hAnsi="Arial" w:cs="Arial"/>
          <w:color w:val="000000"/>
          <w:sz w:val="24"/>
          <w:szCs w:val="24"/>
        </w:rPr>
        <w:t>all not be subject to clause 11.2 of the Core Terms.</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rsidR="00FF3F24" w:rsidRDefault="005847A3">
      <w:pPr>
        <w:pStyle w:val="Heading2"/>
        <w:keepNext w:val="0"/>
        <w:keepLines w:val="0"/>
        <w:numPr>
          <w:ilvl w:val="1"/>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rsidR="00FF3F24" w:rsidRDefault="005847A3">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fails to comply with Paragraphs 5.1, 5.</w:t>
      </w:r>
      <w:r>
        <w:rPr>
          <w:rFonts w:ascii="Arial" w:eastAsia="Arial" w:hAnsi="Arial" w:cs="Arial"/>
          <w:color w:val="000000"/>
          <w:sz w:val="24"/>
          <w:szCs w:val="24"/>
        </w:rPr>
        <w:t xml:space="preserve">4.1 and/or 5.7 this may be a material breach of the Contract; </w:t>
      </w:r>
    </w:p>
    <w:p w:rsidR="00FF3F24" w:rsidRDefault="005847A3">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w:t>
      </w:r>
      <w:r>
        <w:rPr>
          <w:rFonts w:ascii="Arial" w:eastAsia="Arial" w:hAnsi="Arial" w:cs="Arial"/>
          <w:color w:val="000000"/>
          <w:sz w:val="24"/>
          <w:szCs w:val="24"/>
        </w:rPr>
        <w:t>.3 on the grounds that the agent, supplier or Subcontractor of the Supplier is  involved in a Tax Compliance Failure this shall be a material breach of the Contract; and/or</w:t>
      </w:r>
    </w:p>
    <w:p w:rsidR="00FF3F24" w:rsidRDefault="005847A3">
      <w:pPr>
        <w:pStyle w:val="Heading2"/>
        <w:keepNext w:val="0"/>
        <w:keepLines w:val="0"/>
        <w:numPr>
          <w:ilvl w:val="2"/>
          <w:numId w:val="1"/>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w:t>
      </w:r>
      <w:r>
        <w:rPr>
          <w:rFonts w:ascii="Arial" w:eastAsia="Arial" w:hAnsi="Arial" w:cs="Arial"/>
          <w:color w:val="000000"/>
          <w:sz w:val="24"/>
          <w:szCs w:val="24"/>
        </w:rPr>
        <w:t>suant to Paragraph 5.4.2 this shall be a material breach of the Contract;</w:t>
      </w:r>
    </w:p>
    <w:p w:rsidR="00FF3F24" w:rsidRDefault="005847A3">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Con</w:t>
      </w:r>
      <w:r>
        <w:rPr>
          <w:rFonts w:ascii="Arial" w:eastAsia="Arial" w:hAnsi="Arial" w:cs="Arial"/>
          <w:color w:val="000000"/>
          <w:sz w:val="24"/>
          <w:szCs w:val="24"/>
        </w:rPr>
        <w:t>tract had been terminated under Clause 10.4.1.</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In addition to those circumstances listed in clause 15.2 to 15.4 of the Core Terms, the Buyer may internally share any information, including Confidential Information, which it receives under Paragraphs 5.2 to</w:t>
      </w:r>
      <w:r>
        <w:rPr>
          <w:rFonts w:ascii="Arial" w:eastAsia="Arial" w:hAnsi="Arial" w:cs="Arial"/>
          <w:color w:val="000000"/>
          <w:sz w:val="24"/>
          <w:szCs w:val="24"/>
        </w:rPr>
        <w:t xml:space="preserve"> 5.4 (inclusive) and 5.7. </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rsidR="00FF3F24" w:rsidRDefault="005847A3">
      <w:pPr>
        <w:pStyle w:val="Heading2"/>
        <w:keepNext w:val="0"/>
        <w:keepLines w:val="0"/>
        <w:numPr>
          <w:ilvl w:val="1"/>
          <w:numId w:val="1"/>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The Supplier shall not, and shall ensure that its Connected Companies, Key Subcontractors (and their respective Connected Companies) shall not, have or put in place any Prohibited Transactions, unless the Buyer otherwise agrees to that Prohibited Transacti</w:t>
      </w:r>
      <w:r>
        <w:rPr>
          <w:rFonts w:ascii="Arial" w:eastAsia="Arial" w:hAnsi="Arial" w:cs="Arial"/>
          <w:color w:val="000000"/>
          <w:sz w:val="24"/>
          <w:szCs w:val="24"/>
        </w:rPr>
        <w:t xml:space="preserve">on.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w:t>
      </w:r>
      <w:r>
        <w:rPr>
          <w:rFonts w:ascii="Arial" w:eastAsia="Arial" w:hAnsi="Arial" w:cs="Arial"/>
          <w:color w:val="000000"/>
          <w:sz w:val="24"/>
          <w:szCs w:val="24"/>
        </w:rPr>
        <w:t>plier shall include reasonable supporting detail and make the notification within a reasonable time before the Prohibited Transaction is due to be put in place.</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 xml:space="preserve">If a Prohibited Transaction is entered into in breach of Paragraph 6.1, or circumstances arise </w:t>
      </w:r>
      <w:r>
        <w:rPr>
          <w:rFonts w:ascii="Arial" w:eastAsia="Arial" w:hAnsi="Arial" w:cs="Arial"/>
          <w:color w:val="000000"/>
          <w:sz w:val="24"/>
          <w:szCs w:val="24"/>
        </w:rPr>
        <w:t xml:space="preserve">which may result in such a breach, the Supplier and/or the Key Subcontractor (as applicable) shall discuss the situation with the Buyer. The Parties shall agree (at no cost to the Buyer) any necessary </w:t>
      </w:r>
      <w:r>
        <w:rPr>
          <w:rFonts w:ascii="Arial" w:eastAsia="Arial" w:hAnsi="Arial" w:cs="Arial"/>
          <w:color w:val="000000"/>
          <w:sz w:val="24"/>
          <w:szCs w:val="24"/>
        </w:rPr>
        <w:lastRenderedPageBreak/>
        <w:t>changes to any such arrangements by the undertakings co</w:t>
      </w:r>
      <w:r>
        <w:rPr>
          <w:rFonts w:ascii="Arial" w:eastAsia="Arial" w:hAnsi="Arial" w:cs="Arial"/>
          <w:color w:val="000000"/>
          <w:sz w:val="24"/>
          <w:szCs w:val="24"/>
        </w:rPr>
        <w:t>ncerned (and the Supplier shall ensure that the Key Subcontractor shall agree, where applicable). The matter will be resolved using clause 34 of the Core Terms if necessary.</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w:t>
      </w:r>
      <w:r>
        <w:rPr>
          <w:rFonts w:ascii="Arial" w:eastAsia="Arial" w:hAnsi="Arial" w:cs="Arial"/>
          <w:color w:val="000000"/>
          <w:sz w:val="24"/>
          <w:szCs w:val="24"/>
        </w:rPr>
        <w:t>t out in Paragraphs 6.2 and 6.3 shall be deemed to be an event to which clause 10.4.1 of the Core Terms applies and Clauses 10.6.1 and 10.6.2 of the Core Terms shall apply as if the Contract had been terminated under Clause 10.4.1.</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Data Protection and off-</w:t>
      </w:r>
      <w:r>
        <w:rPr>
          <w:rFonts w:ascii="Arial" w:eastAsia="Arial" w:hAnsi="Arial" w:cs="Arial"/>
          <w:b/>
          <w:color w:val="000000"/>
          <w:sz w:val="24"/>
          <w:szCs w:val="24"/>
        </w:rPr>
        <w:t>shoring</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rsidR="00FF3F24" w:rsidRDefault="005847A3">
      <w:pPr>
        <w:pStyle w:val="Heading2"/>
        <w:keepNext w:val="0"/>
        <w:keepLines w:val="0"/>
        <w:numPr>
          <w:ilvl w:val="2"/>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and the following conditions are fulfilled:</w:t>
      </w:r>
    </w:p>
    <w:p w:rsidR="00FF3F24" w:rsidRDefault="005847A3">
      <w:pPr>
        <w:pStyle w:val="Heading2"/>
        <w:keepNext w:val="0"/>
        <w:keepLines w:val="0"/>
        <w:numPr>
          <w:ilvl w:val="3"/>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w:t>
      </w:r>
      <w:r>
        <w:rPr>
          <w:rFonts w:ascii="Arial" w:eastAsia="Arial" w:hAnsi="Arial" w:cs="Arial"/>
          <w:color w:val="000000"/>
          <w:sz w:val="24"/>
          <w:szCs w:val="24"/>
        </w:rPr>
        <w:t xml:space="preserve"> transfer (whether in accordance with GDPR Article 46 or LED Article 37) as determined by the Controller;</w:t>
      </w:r>
    </w:p>
    <w:p w:rsidR="00FF3F24" w:rsidRDefault="005847A3">
      <w:pPr>
        <w:pStyle w:val="Heading2"/>
        <w:keepNext w:val="0"/>
        <w:keepLines w:val="0"/>
        <w:numPr>
          <w:ilvl w:val="3"/>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rsidR="00FF3F24" w:rsidRDefault="005847A3">
      <w:pPr>
        <w:pStyle w:val="Heading2"/>
        <w:keepNext w:val="0"/>
        <w:keepLines w:val="0"/>
        <w:numPr>
          <w:ilvl w:val="3"/>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w:t>
      </w:r>
      <w:r>
        <w:rPr>
          <w:rFonts w:ascii="Arial" w:eastAsia="Arial" w:hAnsi="Arial" w:cs="Arial"/>
          <w:color w:val="000000"/>
          <w:sz w:val="24"/>
          <w:szCs w:val="24"/>
        </w:rPr>
        <w:t>n by providing an adequate level of protection to any Personal Data that is transferred (or, if it is not so bound, uses its best endeavours to assist the Controller in meeting its obligations); and</w:t>
      </w:r>
    </w:p>
    <w:p w:rsidR="00FF3F24" w:rsidRDefault="005847A3">
      <w:pPr>
        <w:pStyle w:val="Heading2"/>
        <w:keepNext w:val="0"/>
        <w:keepLines w:val="0"/>
        <w:numPr>
          <w:ilvl w:val="3"/>
          <w:numId w:val="1"/>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Processor complies with any reasonable instructions n</w:t>
      </w:r>
      <w:r>
        <w:rPr>
          <w:rFonts w:ascii="Arial" w:eastAsia="Arial" w:hAnsi="Arial" w:cs="Arial"/>
          <w:color w:val="000000"/>
          <w:sz w:val="24"/>
          <w:szCs w:val="24"/>
        </w:rPr>
        <w:t>otified to it in advance by the Controller with respect to the Processing of the Personal Data;</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Processor to comply with the obligations set out in Paragraph 7.1 shall be deemed to be an event to which clause 10.4.1 of the Core Terms applies</w:t>
      </w:r>
      <w:r>
        <w:rPr>
          <w:rFonts w:ascii="Arial" w:eastAsia="Arial" w:hAnsi="Arial" w:cs="Arial"/>
          <w:color w:val="000000"/>
          <w:sz w:val="24"/>
          <w:szCs w:val="24"/>
        </w:rPr>
        <w:t xml:space="preserve"> and Clauses 10.6.1 and 10.6.2 of the Core Terms shall apply as if the Contract had been terminated under Clause 10.4.1. </w:t>
      </w:r>
    </w:p>
    <w:p w:rsidR="00FF3F24" w:rsidRDefault="005847A3">
      <w:pPr>
        <w:pStyle w:val="Heading2"/>
        <w:keepNext w:val="0"/>
        <w:keepLines w:val="0"/>
        <w:numPr>
          <w:ilvl w:val="0"/>
          <w:numId w:val="1"/>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 xml:space="preserve">Commissioners for Revenue and Customs Act 2005 and related Legislation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 xml:space="preserve">The Supplier shall comply with, and shall ensure that all Supplier Staff who will have access to, or are provided with, Government Data comply with the obligations set out in Section 18 of the Commissioners for Revenue and </w:t>
      </w:r>
      <w:r>
        <w:rPr>
          <w:rFonts w:ascii="Arial" w:eastAsia="Arial" w:hAnsi="Arial" w:cs="Arial"/>
          <w:color w:val="000000"/>
          <w:sz w:val="24"/>
          <w:szCs w:val="24"/>
        </w:rPr>
        <w:lastRenderedPageBreak/>
        <w:t>Customs Act 2005 (“</w:t>
      </w:r>
      <w:r>
        <w:rPr>
          <w:rFonts w:ascii="Arial" w:eastAsia="Arial" w:hAnsi="Arial" w:cs="Arial"/>
          <w:b/>
          <w:color w:val="000000"/>
          <w:sz w:val="24"/>
          <w:szCs w:val="24"/>
        </w:rPr>
        <w:t>CRCA</w:t>
      </w:r>
      <w:r>
        <w:rPr>
          <w:rFonts w:ascii="Arial" w:eastAsia="Arial" w:hAnsi="Arial" w:cs="Arial"/>
          <w:color w:val="000000"/>
          <w:sz w:val="24"/>
          <w:szCs w:val="24"/>
        </w:rPr>
        <w:t>”) to main</w:t>
      </w:r>
      <w:r>
        <w:rPr>
          <w:rFonts w:ascii="Arial" w:eastAsia="Arial" w:hAnsi="Arial" w:cs="Arial"/>
          <w:color w:val="000000"/>
          <w:sz w:val="24"/>
          <w:szCs w:val="24"/>
        </w:rPr>
        <w:t xml:space="preserve">tain the confidentiality of Government Data.  Further, the Supplier acknowledges that (without prejudice to any other rights and remedies of the Buyer) a breach of those obligations may lead to a prosecution under Section 19 of CRCA. </w:t>
      </w:r>
    </w:p>
    <w:p w:rsidR="00FF3F24" w:rsidRDefault="005847A3">
      <w:pPr>
        <w:pStyle w:val="Heading2"/>
        <w:keepNext w:val="0"/>
        <w:keepLines w:val="0"/>
        <w:numPr>
          <w:ilvl w:val="1"/>
          <w:numId w:val="1"/>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co</w:t>
      </w:r>
      <w:r>
        <w:rPr>
          <w:rFonts w:ascii="Arial" w:eastAsia="Arial" w:hAnsi="Arial" w:cs="Arial"/>
          <w:color w:val="000000"/>
          <w:sz w:val="24"/>
          <w:szCs w:val="24"/>
        </w:rPr>
        <w:t>mply with, and shall ensure that all Supplier Staff who will have access to, or are provided with, Government Data comply with the obligations set out in the Official Secrets Acts 1911 to 1989 and the obligations set out in Section 182 of the Finance Act 1</w:t>
      </w:r>
      <w:r>
        <w:rPr>
          <w:rFonts w:ascii="Arial" w:eastAsia="Arial" w:hAnsi="Arial" w:cs="Arial"/>
          <w:color w:val="000000"/>
          <w:sz w:val="24"/>
          <w:szCs w:val="24"/>
        </w:rPr>
        <w:t>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shall comply with, and shall ensure that all Supplier Staff</w:t>
      </w:r>
      <w:r>
        <w:rPr>
          <w:rFonts w:ascii="Arial" w:eastAsia="Arial" w:hAnsi="Arial" w:cs="Arial"/>
          <w:color w:val="000000"/>
          <w:sz w:val="24"/>
          <w:szCs w:val="24"/>
        </w:rPr>
        <w:t xml:space="preserve"> who will have access to, or are provided with, Government Data comply with the obligations set out in Section 123 of the Social Security Administration Act 1992, which may apply to the fulfilment of some or all of the Deliverables. The Supplier acknowledg</w:t>
      </w:r>
      <w:r>
        <w:rPr>
          <w:rFonts w:ascii="Arial" w:eastAsia="Arial" w:hAnsi="Arial" w:cs="Arial"/>
          <w:color w:val="000000"/>
          <w:sz w:val="24"/>
          <w:szCs w:val="24"/>
        </w:rPr>
        <w:t>es that (without prejudice to any other rights and remedies of the Buyer) a breach of the Supplier’s obligations under Section 123 of the Social Security Administration Act 1992 may lead to a prosecution under that Act.</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shall regularly (not le</w:t>
      </w:r>
      <w:r>
        <w:rPr>
          <w:rFonts w:ascii="Arial" w:eastAsia="Arial" w:hAnsi="Arial" w:cs="Arial"/>
          <w:color w:val="000000"/>
          <w:sz w:val="24"/>
          <w:szCs w:val="24"/>
        </w:rPr>
        <w:t>ss than once every six (6) months) remind all Supplier Staff who will have access to, or are provided with, Government Data in writing of the obligations upon Supplier Staff set out in Paragraphs 8.1, 8.2 and 8.3.  The Supplier shall monitor the compliance</w:t>
      </w:r>
      <w:r>
        <w:rPr>
          <w:rFonts w:ascii="Arial" w:eastAsia="Arial" w:hAnsi="Arial" w:cs="Arial"/>
          <w:color w:val="000000"/>
          <w:sz w:val="24"/>
          <w:szCs w:val="24"/>
        </w:rPr>
        <w:t xml:space="preserve"> by Supplier Staff with such obligations.</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The Supplier shall ensure that all Supplier Staff who will have access to, or are provided with, Government Data sign (or have previously signed) a Confidentiality Declaration, in the form provided at Annex 2. The </w:t>
      </w:r>
      <w:r>
        <w:rPr>
          <w:rFonts w:ascii="Arial" w:eastAsia="Arial" w:hAnsi="Arial" w:cs="Arial"/>
          <w:color w:val="000000"/>
          <w:sz w:val="24"/>
          <w:szCs w:val="24"/>
        </w:rPr>
        <w:t>Supplier shall provide a copy of each such signed declaration to the Buyer upon demand.</w:t>
      </w:r>
    </w:p>
    <w:p w:rsidR="00FF3F24" w:rsidRDefault="005847A3">
      <w:pPr>
        <w:pStyle w:val="Heading2"/>
        <w:keepNext w:val="0"/>
        <w:keepLines w:val="0"/>
        <w:numPr>
          <w:ilvl w:val="1"/>
          <w:numId w:val="1"/>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In the event that the Supplier or the Supplier Staff fail to comply with this Paragraph 8, the Buyer reserves the right to terminate the Contract as if that failure to </w:t>
      </w:r>
      <w:r>
        <w:rPr>
          <w:rFonts w:ascii="Arial" w:eastAsia="Arial" w:hAnsi="Arial" w:cs="Arial"/>
          <w:color w:val="000000"/>
          <w:sz w:val="24"/>
          <w:szCs w:val="24"/>
        </w:rPr>
        <w:t xml:space="preserve">comply were an event to which clause 10.4.1 of the Core Terms applies. </w:t>
      </w:r>
    </w:p>
    <w:p w:rsidR="00FF3F24" w:rsidRDefault="005847A3">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rsidR="00FF3F24" w:rsidRDefault="005847A3">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rsidR="00FF3F24" w:rsidRDefault="005847A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rsidR="00FF3F24" w:rsidRDefault="00FF3F24">
      <w:pPr>
        <w:pBdr>
          <w:top w:val="nil"/>
          <w:left w:val="nil"/>
          <w:bottom w:val="nil"/>
          <w:right w:val="nil"/>
          <w:between w:val="nil"/>
        </w:pBdr>
        <w:spacing w:after="240" w:line="240" w:lineRule="auto"/>
        <w:jc w:val="both"/>
        <w:rPr>
          <w:rFonts w:ascii="Arial" w:eastAsia="Arial" w:hAnsi="Arial" w:cs="Arial"/>
          <w:color w:val="000000"/>
          <w:sz w:val="24"/>
          <w:szCs w:val="24"/>
        </w:rPr>
      </w:pPr>
    </w:p>
    <w:p w:rsidR="00FF3F24" w:rsidRDefault="005847A3">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rsidR="00FF3F24" w:rsidRDefault="00FF3F24">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rsidR="00FF3F24" w:rsidRDefault="005847A3">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rsidR="00FF3F24" w:rsidRDefault="005847A3">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Part of the same Group of companies of EOS. An entity will be treated as within the same Group of EOS where that entities’ financial statements would be required to be consolidated with those of EOS if</w:t>
      </w:r>
      <w:r>
        <w:rPr>
          <w:rFonts w:ascii="Arial" w:eastAsia="Arial" w:hAnsi="Arial" w:cs="Arial"/>
          <w:color w:val="000000"/>
          <w:sz w:val="24"/>
          <w:szCs w:val="24"/>
        </w:rPr>
        <w:t xml:space="preserve">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1"/>
      </w:r>
      <w:r>
        <w:rPr>
          <w:rFonts w:ascii="Arial" w:eastAsia="Arial" w:hAnsi="Arial" w:cs="Arial"/>
          <w:color w:val="000000"/>
          <w:sz w:val="24"/>
          <w:szCs w:val="24"/>
        </w:rPr>
        <w:t>;</w:t>
      </w:r>
    </w:p>
    <w:p w:rsidR="00FF3F24" w:rsidRDefault="005847A3">
      <w:pPr>
        <w:numPr>
          <w:ilvl w:val="0"/>
          <w:numId w:val="6"/>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Any director, shareholder or other person (P) which exercises control over EOS. ‘Control’ means P can secure, through holding of shares or powers under articles of association or other </w:t>
      </w:r>
      <w:r>
        <w:rPr>
          <w:rFonts w:ascii="Arial" w:eastAsia="Arial" w:hAnsi="Arial" w:cs="Arial"/>
          <w:color w:val="000000"/>
          <w:sz w:val="24"/>
          <w:szCs w:val="24"/>
        </w:rPr>
        <w:t>document that EOS’s affairs are conducted in accordance with P’s wishes.</w:t>
      </w:r>
    </w:p>
    <w:p w:rsidR="00FF3F24" w:rsidRDefault="005847A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FF3F24" w:rsidRDefault="005847A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rsidR="00FF3F24" w:rsidRDefault="005847A3">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rsidR="00FF3F24" w:rsidRDefault="00FF3F24">
      <w:pPr>
        <w:pBdr>
          <w:top w:val="nil"/>
          <w:left w:val="nil"/>
          <w:bottom w:val="nil"/>
          <w:right w:val="nil"/>
          <w:between w:val="nil"/>
        </w:pBdr>
        <w:spacing w:after="240" w:line="240" w:lineRule="auto"/>
        <w:jc w:val="both"/>
        <w:rPr>
          <w:rFonts w:ascii="Arial" w:eastAsia="Arial" w:hAnsi="Arial" w:cs="Arial"/>
          <w:color w:val="000000"/>
          <w:sz w:val="24"/>
          <w:szCs w:val="24"/>
        </w:rPr>
      </w:pP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Conduct caught by a recognised ‘anti-avoidance rule’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 xml:space="preserve"> being a statutory provision which targets arr</w:t>
      </w:r>
      <w:r>
        <w:rPr>
          <w:rFonts w:ascii="Arial" w:eastAsia="Arial" w:hAnsi="Arial" w:cs="Arial"/>
          <w:color w:val="000000"/>
          <w:sz w:val="24"/>
          <w:szCs w:val="24"/>
        </w:rPr>
        <w:t>angements where either a main purpose, or an expected benefit, is to obtain a tax advantage or where the arrangement is not effected for commercial purposes. ‘Targeted Anti-Avoidance Rules’ (TAARs). It may be useful to confirm that the Diverted Profits Tax</w:t>
      </w:r>
      <w:r>
        <w:rPr>
          <w:rFonts w:ascii="Arial" w:eastAsia="Arial" w:hAnsi="Arial" w:cs="Arial"/>
          <w:color w:val="000000"/>
          <w:sz w:val="24"/>
          <w:szCs w:val="24"/>
        </w:rPr>
        <w:t xml:space="preserve"> is a TAAR for these purposes;</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w:t>
      </w:r>
    </w:p>
    <w:p w:rsidR="00FF3F24" w:rsidRDefault="005847A3">
      <w:pPr>
        <w:numPr>
          <w:ilvl w:val="1"/>
          <w:numId w:val="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rsidR="00FF3F24" w:rsidRDefault="005847A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rsidR="00FF3F24" w:rsidRDefault="005847A3">
      <w:pPr>
        <w:numPr>
          <w:ilvl w:val="0"/>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rsidR="00FF3F24" w:rsidRDefault="00FF3F24">
      <w:pPr>
        <w:pBdr>
          <w:top w:val="nil"/>
          <w:left w:val="nil"/>
          <w:bottom w:val="nil"/>
          <w:right w:val="nil"/>
          <w:between w:val="nil"/>
        </w:pBdr>
        <w:spacing w:after="240" w:line="240" w:lineRule="auto"/>
        <w:ind w:firstLine="60"/>
        <w:rPr>
          <w:rFonts w:ascii="Arial" w:eastAsia="Arial" w:hAnsi="Arial" w:cs="Arial"/>
          <w:color w:val="000000"/>
          <w:sz w:val="24"/>
          <w:szCs w:val="24"/>
        </w:rPr>
      </w:pPr>
    </w:p>
    <w:p w:rsidR="00FF3F24" w:rsidRDefault="005847A3">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rsidR="00FF3F24" w:rsidRDefault="005847A3">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 or,</w:t>
      </w:r>
    </w:p>
    <w:p w:rsidR="00FF3F24" w:rsidRDefault="005847A3">
      <w:pPr>
        <w:numPr>
          <w:ilvl w:val="2"/>
          <w:numId w:val="5"/>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rsidR="00FF3F24" w:rsidRDefault="005847A3">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(b) to (e), </w:t>
      </w:r>
      <w:r>
        <w:rPr>
          <w:rFonts w:ascii="Arial" w:eastAsia="Arial" w:hAnsi="Arial" w:cs="Arial"/>
          <w:color w:val="000000"/>
          <w:sz w:val="24"/>
          <w:szCs w:val="24"/>
        </w:rPr>
        <w:t>once X has commenced the statutory appeal process by filing a Notice of Appeal and the appeal process is ongoing including where the appeal is stayed or listed behind a lead case (either formally or informally). NB Judicial reviews are not part of the stat</w:t>
      </w:r>
      <w:r>
        <w:rPr>
          <w:rFonts w:ascii="Arial" w:eastAsia="Arial" w:hAnsi="Arial" w:cs="Arial"/>
          <w:color w:val="000000"/>
          <w:sz w:val="24"/>
          <w:szCs w:val="24"/>
        </w:rPr>
        <w:t>utory appeal process and no supplier would be excluded merely because they are applying for judicial review of an HMRC or HMT decision relating to tax or national insurance.</w:t>
      </w:r>
    </w:p>
    <w:p w:rsidR="00FF3F24" w:rsidRDefault="005847A3">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In respect of (b) to (e), during an HMRC enquiry, if it has been agreed between HM</w:t>
      </w:r>
      <w:r>
        <w:rPr>
          <w:rFonts w:ascii="Arial" w:eastAsia="Arial" w:hAnsi="Arial" w:cs="Arial"/>
          <w:color w:val="000000"/>
          <w:sz w:val="24"/>
          <w:szCs w:val="24"/>
        </w:rPr>
        <w:t>RC and X that there is a pause with the enquiry in order to await the outcome of related litigation.</w:t>
      </w:r>
    </w:p>
    <w:p w:rsidR="00FF3F24" w:rsidRDefault="005847A3">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rsidR="00FF3F24" w:rsidRDefault="005847A3">
      <w:pPr>
        <w:numPr>
          <w:ilvl w:val="1"/>
          <w:numId w:val="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(g) the foreign equivalent to each of the corresponding </w:t>
      </w:r>
      <w:r>
        <w:rPr>
          <w:rFonts w:ascii="Arial" w:eastAsia="Arial" w:hAnsi="Arial" w:cs="Arial"/>
          <w:color w:val="000000"/>
          <w:sz w:val="24"/>
          <w:szCs w:val="24"/>
        </w:rPr>
        <w:t>steps set out above in (i) to (iii).</w:t>
      </w:r>
    </w:p>
    <w:p w:rsidR="00FF3F24" w:rsidRDefault="005847A3">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rsidR="00FF3F24" w:rsidRDefault="005847A3">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rsidR="00FF3F24" w:rsidRDefault="005847A3">
      <w:pPr>
        <w:spacing w:after="240" w:line="240" w:lineRule="auto"/>
        <w:rPr>
          <w:rFonts w:ascii="Arial" w:eastAsia="Arial" w:hAnsi="Arial" w:cs="Arial"/>
          <w:sz w:val="24"/>
          <w:szCs w:val="24"/>
        </w:rPr>
      </w:pPr>
      <w:r>
        <w:br w:type="page"/>
      </w:r>
    </w:p>
    <w:p w:rsidR="00FF3F24" w:rsidRDefault="005847A3">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rsidR="00FF3F24" w:rsidRDefault="005847A3">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rsidR="00FF3F24" w:rsidRDefault="005847A3">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rsidR="00FF3F24" w:rsidRDefault="005847A3">
      <w:pPr>
        <w:spacing w:after="240" w:line="240" w:lineRule="auto"/>
        <w:jc w:val="both"/>
        <w:rPr>
          <w:rFonts w:ascii="Arial" w:eastAsia="Arial" w:hAnsi="Arial" w:cs="Arial"/>
          <w:sz w:val="24"/>
          <w:szCs w:val="24"/>
        </w:rPr>
      </w:pPr>
      <w:r>
        <w:rPr>
          <w:rFonts w:ascii="Arial" w:eastAsia="Arial" w:hAnsi="Arial" w:cs="Arial"/>
          <w:sz w:val="24"/>
          <w:szCs w:val="24"/>
        </w:rPr>
        <w:t>DECLARATION:</w:t>
      </w:r>
    </w:p>
    <w:p w:rsidR="00FF3F24" w:rsidRDefault="005847A3">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rsidR="00FF3F24" w:rsidRDefault="005847A3">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w:t>
      </w:r>
      <w:r>
        <w:rPr>
          <w:rFonts w:ascii="Arial" w:eastAsia="Arial" w:hAnsi="Arial" w:cs="Arial"/>
          <w:color w:val="000000"/>
          <w:sz w:val="24"/>
          <w:szCs w:val="24"/>
        </w:rPr>
        <w:t>ioners for Revenue and Customs Act 2005 applies to Government Data (as defined in the Agreement) that has been or will be provided to me in accordance with the Agreement.</w:t>
      </w:r>
    </w:p>
    <w:p w:rsidR="00FF3F24" w:rsidRDefault="005847A3">
      <w:pPr>
        <w:numPr>
          <w:ilvl w:val="0"/>
          <w:numId w:val="3"/>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understand and acknowledge that under Section 19 of the Commissioners for Revenue a</w:t>
      </w:r>
      <w:r>
        <w:rPr>
          <w:rFonts w:ascii="Arial" w:eastAsia="Arial" w:hAnsi="Arial" w:cs="Arial"/>
          <w:color w:val="000000"/>
          <w:sz w:val="24"/>
          <w:szCs w:val="24"/>
        </w:rPr>
        <w:t xml:space="preserve">nd Customs Act 2005 it may be a criminal offence to disclose any Government Data provided to me. </w:t>
      </w:r>
    </w:p>
    <w:p w:rsidR="00FF3F24" w:rsidRDefault="00FF3F24">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Style w:val="a0"/>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FF3F24">
        <w:tc>
          <w:tcPr>
            <w:tcW w:w="5670" w:type="dxa"/>
          </w:tcPr>
          <w:p w:rsidR="00FF3F24" w:rsidRDefault="005847A3">
            <w:pPr>
              <w:spacing w:after="240"/>
              <w:rPr>
                <w:rFonts w:ascii="Arial" w:eastAsia="Arial" w:hAnsi="Arial" w:cs="Arial"/>
                <w:sz w:val="24"/>
                <w:szCs w:val="24"/>
              </w:rPr>
            </w:pPr>
            <w:r>
              <w:rPr>
                <w:rFonts w:ascii="Arial" w:eastAsia="Arial" w:hAnsi="Arial" w:cs="Arial"/>
                <w:sz w:val="24"/>
                <w:szCs w:val="24"/>
              </w:rPr>
              <w:t>SIGNED:</w:t>
            </w:r>
          </w:p>
        </w:tc>
      </w:tr>
      <w:tr w:rsidR="00FF3F24">
        <w:tc>
          <w:tcPr>
            <w:tcW w:w="5670" w:type="dxa"/>
          </w:tcPr>
          <w:p w:rsidR="00FF3F24" w:rsidRDefault="005847A3">
            <w:pPr>
              <w:spacing w:after="240"/>
              <w:rPr>
                <w:rFonts w:ascii="Arial" w:eastAsia="Arial" w:hAnsi="Arial" w:cs="Arial"/>
                <w:sz w:val="24"/>
                <w:szCs w:val="24"/>
              </w:rPr>
            </w:pPr>
            <w:r>
              <w:rPr>
                <w:rFonts w:ascii="Arial" w:eastAsia="Arial" w:hAnsi="Arial" w:cs="Arial"/>
                <w:sz w:val="24"/>
                <w:szCs w:val="24"/>
              </w:rPr>
              <w:t>FULL NAME:</w:t>
            </w:r>
          </w:p>
        </w:tc>
      </w:tr>
      <w:tr w:rsidR="00FF3F24">
        <w:tc>
          <w:tcPr>
            <w:tcW w:w="5670" w:type="dxa"/>
          </w:tcPr>
          <w:p w:rsidR="00FF3F24" w:rsidRDefault="005847A3">
            <w:pPr>
              <w:spacing w:after="240"/>
              <w:rPr>
                <w:rFonts w:ascii="Arial" w:eastAsia="Arial" w:hAnsi="Arial" w:cs="Arial"/>
                <w:sz w:val="24"/>
                <w:szCs w:val="24"/>
              </w:rPr>
            </w:pPr>
            <w:r>
              <w:rPr>
                <w:rFonts w:ascii="Arial" w:eastAsia="Arial" w:hAnsi="Arial" w:cs="Arial"/>
                <w:sz w:val="24"/>
                <w:szCs w:val="24"/>
              </w:rPr>
              <w:t>POSITION:</w:t>
            </w:r>
          </w:p>
        </w:tc>
      </w:tr>
      <w:tr w:rsidR="00FF3F24">
        <w:tc>
          <w:tcPr>
            <w:tcW w:w="5670" w:type="dxa"/>
          </w:tcPr>
          <w:p w:rsidR="00FF3F24" w:rsidRDefault="005847A3">
            <w:pPr>
              <w:spacing w:after="240"/>
              <w:rPr>
                <w:rFonts w:ascii="Arial" w:eastAsia="Arial" w:hAnsi="Arial" w:cs="Arial"/>
                <w:sz w:val="24"/>
                <w:szCs w:val="24"/>
              </w:rPr>
            </w:pPr>
            <w:r>
              <w:rPr>
                <w:rFonts w:ascii="Arial" w:eastAsia="Arial" w:hAnsi="Arial" w:cs="Arial"/>
                <w:sz w:val="24"/>
                <w:szCs w:val="24"/>
              </w:rPr>
              <w:t xml:space="preserve">COMPANY: </w:t>
            </w:r>
          </w:p>
        </w:tc>
      </w:tr>
      <w:tr w:rsidR="00FF3F24">
        <w:tc>
          <w:tcPr>
            <w:tcW w:w="5670" w:type="dxa"/>
          </w:tcPr>
          <w:p w:rsidR="00FF3F24" w:rsidRDefault="005847A3">
            <w:pPr>
              <w:spacing w:after="240"/>
              <w:rPr>
                <w:rFonts w:ascii="Arial" w:eastAsia="Arial" w:hAnsi="Arial" w:cs="Arial"/>
                <w:sz w:val="24"/>
                <w:szCs w:val="24"/>
              </w:rPr>
            </w:pPr>
            <w:r>
              <w:rPr>
                <w:rFonts w:ascii="Arial" w:eastAsia="Arial" w:hAnsi="Arial" w:cs="Arial"/>
                <w:sz w:val="24"/>
                <w:szCs w:val="24"/>
              </w:rPr>
              <w:t xml:space="preserve">DATE OF SIGNITURE: </w:t>
            </w:r>
          </w:p>
        </w:tc>
      </w:tr>
    </w:tbl>
    <w:p w:rsidR="00FF3F24" w:rsidRDefault="00FF3F24">
      <w:pPr>
        <w:spacing w:after="240" w:line="240" w:lineRule="auto"/>
        <w:rPr>
          <w:rFonts w:ascii="Arial" w:eastAsia="Arial" w:hAnsi="Arial" w:cs="Arial"/>
          <w:sz w:val="24"/>
          <w:szCs w:val="24"/>
        </w:rPr>
      </w:pPr>
    </w:p>
    <w:p w:rsidR="00FF3F24" w:rsidRDefault="00FF3F24">
      <w:pPr>
        <w:spacing w:after="240" w:line="240" w:lineRule="auto"/>
        <w:rPr>
          <w:rFonts w:ascii="Arial" w:eastAsia="Arial" w:hAnsi="Arial" w:cs="Arial"/>
          <w:sz w:val="24"/>
          <w:szCs w:val="24"/>
        </w:rPr>
      </w:pPr>
    </w:p>
    <w:p w:rsidR="00FF3F24" w:rsidRDefault="00FF3F24">
      <w:pPr>
        <w:spacing w:after="240" w:line="240" w:lineRule="auto"/>
        <w:rPr>
          <w:rFonts w:ascii="Arial" w:eastAsia="Arial" w:hAnsi="Arial" w:cs="Arial"/>
          <w:sz w:val="24"/>
          <w:szCs w:val="24"/>
        </w:rPr>
      </w:pPr>
    </w:p>
    <w:p w:rsidR="00FF3F24" w:rsidRDefault="00FF3F24">
      <w:pPr>
        <w:spacing w:after="240" w:line="240" w:lineRule="auto"/>
        <w:jc w:val="right"/>
      </w:pPr>
    </w:p>
    <w:sectPr w:rsidR="00FF3F2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7A3" w:rsidRDefault="005847A3">
      <w:pPr>
        <w:spacing w:after="0" w:line="240" w:lineRule="auto"/>
      </w:pPr>
      <w:r>
        <w:separator/>
      </w:r>
    </w:p>
  </w:endnote>
  <w:endnote w:type="continuationSeparator" w:id="0">
    <w:p w:rsidR="005847A3" w:rsidRDefault="00584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F24" w:rsidRDefault="005847A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b/>
    </w:r>
  </w:p>
  <w:p w:rsidR="00FF3F24" w:rsidRDefault="005847A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RM6171</w:t>
    </w:r>
  </w:p>
  <w:p w:rsidR="00FF3F24" w:rsidRDefault="005847A3">
    <w:pPr>
      <w:tabs>
        <w:tab w:val="center" w:pos="4513"/>
        <w:tab w:val="right" w:pos="9026"/>
      </w:tabs>
      <w:spacing w:after="0" w:line="240" w:lineRule="auto"/>
      <w:rPr>
        <w:rFonts w:ascii="Arial" w:eastAsia="Arial" w:hAnsi="Arial" w:cs="Arial"/>
        <w:color w:val="000000"/>
        <w:sz w:val="24"/>
        <w:szCs w:val="24"/>
      </w:rPr>
    </w:pPr>
    <w:r>
      <w:rPr>
        <w:rFonts w:ascii="Arial" w:eastAsia="Arial" w:hAnsi="Arial" w:cs="Arial"/>
        <w:sz w:val="20"/>
        <w:szCs w:val="20"/>
      </w:rPr>
      <w:t xml:space="preserve">Project Version  </w:t>
    </w:r>
    <w:r w:rsidR="00B9248F">
      <w:rPr>
        <w:rFonts w:ascii="Arial" w:eastAsia="Arial" w:hAnsi="Arial" w:cs="Arial"/>
        <w:sz w:val="20"/>
        <w:szCs w:val="20"/>
      </w:rPr>
      <w:t>V1.0</w:t>
    </w:r>
    <w:r>
      <w:rPr>
        <w:rFonts w:ascii="Arial" w:eastAsia="Arial" w:hAnsi="Arial" w:cs="Arial"/>
        <w:sz w:val="20"/>
        <w:szCs w:val="20"/>
      </w:rPr>
      <w:tab/>
      <w:t xml:space="preserve"> </w:t>
    </w:r>
    <w:r>
      <w:rPr>
        <w:rFonts w:ascii="Arial" w:eastAsia="Arial" w:hAnsi="Arial" w:cs="Arial"/>
        <w:sz w:val="20"/>
        <w:szCs w:val="20"/>
      </w:rPr>
      <w:tab/>
    </w:r>
    <w:r>
      <w:rPr>
        <w:rFonts w:ascii="Arial" w:eastAsia="Arial" w:hAnsi="Arial" w:cs="Arial"/>
        <w:color w:val="000000"/>
        <w:sz w:val="24"/>
        <w:szCs w:val="24"/>
      </w:rPr>
      <w:fldChar w:fldCharType="begin"/>
    </w:r>
    <w:r>
      <w:rPr>
        <w:rFonts w:ascii="Arial" w:eastAsia="Arial" w:hAnsi="Arial" w:cs="Arial"/>
        <w:color w:val="000000"/>
        <w:sz w:val="24"/>
        <w:szCs w:val="24"/>
      </w:rPr>
      <w:instrText>PAGE</w:instrText>
    </w:r>
    <w:r w:rsidR="00B9248F">
      <w:rPr>
        <w:rFonts w:ascii="Arial" w:eastAsia="Arial" w:hAnsi="Arial" w:cs="Arial"/>
        <w:color w:val="000000"/>
        <w:sz w:val="24"/>
        <w:szCs w:val="24"/>
      </w:rPr>
      <w:fldChar w:fldCharType="separate"/>
    </w:r>
    <w:r w:rsidR="00B9248F">
      <w:rPr>
        <w:rFonts w:ascii="Arial" w:eastAsia="Arial" w:hAnsi="Arial" w:cs="Arial"/>
        <w:noProof/>
        <w:color w:val="000000"/>
        <w:sz w:val="24"/>
        <w:szCs w:val="24"/>
      </w:rPr>
      <w:t>4</w:t>
    </w:r>
    <w:r>
      <w:rPr>
        <w:rFonts w:ascii="Arial" w:eastAsia="Arial" w:hAnsi="Arial" w:cs="Arial"/>
        <w:color w:val="000000"/>
        <w:sz w:val="24"/>
        <w:szCs w:val="24"/>
      </w:rPr>
      <w:fldChar w:fldCharType="end"/>
    </w:r>
  </w:p>
  <w:p w:rsidR="00FF3F24" w:rsidRDefault="005847A3">
    <w:pPr>
      <w:pBdr>
        <w:top w:val="nil"/>
        <w:left w:val="nil"/>
        <w:bottom w:val="nil"/>
        <w:right w:val="nil"/>
        <w:between w:val="nil"/>
      </w:pBdr>
      <w:tabs>
        <w:tab w:val="center" w:pos="4513"/>
        <w:tab w:val="right" w:pos="9026"/>
      </w:tabs>
      <w:spacing w:after="0" w:line="240" w:lineRule="auto"/>
      <w:rPr>
        <w:color w:val="000000"/>
      </w:rPr>
    </w:pPr>
    <w:r>
      <w:t xml:space="preserve">Model Version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7A3" w:rsidRDefault="005847A3">
      <w:pPr>
        <w:spacing w:after="0" w:line="240" w:lineRule="auto"/>
      </w:pPr>
      <w:r>
        <w:separator/>
      </w:r>
    </w:p>
  </w:footnote>
  <w:footnote w:type="continuationSeparator" w:id="0">
    <w:p w:rsidR="005847A3" w:rsidRDefault="005847A3">
      <w:pPr>
        <w:spacing w:after="0" w:line="240" w:lineRule="auto"/>
      </w:pPr>
      <w:r>
        <w:continuationSeparator/>
      </w:r>
    </w:p>
  </w:footnote>
  <w:footnote w:id="1">
    <w:p w:rsidR="00FF3F24" w:rsidRDefault="005847A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rsidR="00FF3F24" w:rsidRDefault="005847A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rsidR="00FF3F24" w:rsidRDefault="005847A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w:t>
      </w:r>
      <w:r>
        <w:rPr>
          <w:color w:val="000000"/>
          <w:sz w:val="20"/>
          <w:szCs w:val="20"/>
        </w:rPr>
        <w:t>nti-Abuse Rule” means (a) the legislation in Part 5 of the Finance Act 2013; and (b) any</w:t>
      </w:r>
    </w:p>
    <w:p w:rsidR="00FF3F24" w:rsidRDefault="005847A3">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rsidR="00FF3F24" w:rsidRDefault="005847A3">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4">
    <w:p w:rsidR="00FF3F24" w:rsidRDefault="005847A3">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w:t>
      </w:r>
      <w:r>
        <w:rPr>
          <w:color w:val="000000"/>
          <w:sz w:val="20"/>
          <w:szCs w:val="20"/>
        </w:rPr>
        <w:t xml:space="preserve"> Principle” means the principle explained in the CJEU Case C-255/02 Halifax and others</w:t>
      </w:r>
    </w:p>
  </w:footnote>
  <w:footnote w:id="5">
    <w:p w:rsidR="00FF3F24" w:rsidRDefault="005847A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w:t>
      </w:r>
      <w:r>
        <w:rPr>
          <w:color w:val="000000"/>
          <w:sz w:val="20"/>
          <w:szCs w:val="20"/>
        </w:rPr>
        <w:t>s of any specified notifiable arrangements or proposals and to provide prescribed information on those arrangements or proposals within set time limits as contained in Section 19 and Part 7 of the Finance Act 2004 and in secondary legislation made under vi</w:t>
      </w:r>
      <w:r>
        <w:rPr>
          <w:color w:val="000000"/>
          <w:sz w:val="20"/>
          <w:szCs w:val="20"/>
        </w:rPr>
        <w:t>res contained in Section 19 and Part 7 of the Finance Act 2004 and as extended to National Insurance Contributions by the National Insurance Contributions (Application of Part 7 of the Finance Act 2004) Regulations 2012, SI 2012/1868 made under s.132A Soci</w:t>
      </w:r>
      <w:r>
        <w:rPr>
          <w:color w:val="000000"/>
          <w:sz w:val="20"/>
          <w:szCs w:val="20"/>
        </w:rPr>
        <w:t>al Security Administration Act 1992.</w:t>
      </w:r>
    </w:p>
  </w:footnote>
  <w:footnote w:id="6">
    <w:p w:rsidR="00FF3F24" w:rsidRDefault="005847A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7">
    <w:p w:rsidR="00FF3F24" w:rsidRDefault="005847A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avoidance schem</w:t>
      </w:r>
      <w:r>
        <w:rPr>
          <w:color w:val="000000"/>
          <w:sz w:val="20"/>
          <w:szCs w:val="20"/>
        </w:rPr>
        <w:t xml:space="preserve">es that HMRC believes are being used to avoid paying tax due and which are listed on the Spotlight website: </w:t>
      </w:r>
      <w:hyperlink r:id="rId2">
        <w:r>
          <w:rPr>
            <w:color w:val="0000FF"/>
            <w:sz w:val="20"/>
            <w:szCs w:val="20"/>
            <w:u w:val="single"/>
          </w:rPr>
          <w:t>https://www.gov.uk/government/collecti</w:t>
        </w:r>
        <w:r>
          <w:rPr>
            <w:color w:val="0000FF"/>
            <w:sz w:val="20"/>
            <w:szCs w:val="20"/>
            <w:u w:val="single"/>
          </w:rPr>
          <w:t>ons/tax-avoidance-schemes-currently-in-the-spotlight</w:t>
        </w:r>
      </w:hyperlink>
      <w:r>
        <w:rPr>
          <w:color w:val="000000"/>
          <w:sz w:val="20"/>
          <w:szCs w:val="20"/>
        </w:rPr>
        <w:t xml:space="preserve">  </w:t>
      </w:r>
    </w:p>
  </w:footnote>
  <w:footnote w:id="8">
    <w:p w:rsidR="00FF3F24" w:rsidRDefault="005847A3">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w:t>
      </w:r>
      <w:r>
        <w:rPr>
          <w:color w:val="000000"/>
          <w:sz w:val="20"/>
          <w:szCs w:val="20"/>
        </w:rPr>
        <w:t>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F24" w:rsidRDefault="005847A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23 (HMRC Terms)</w:t>
    </w:r>
  </w:p>
  <w:p w:rsidR="00FF3F24" w:rsidRDefault="005847A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FF3F24" w:rsidRDefault="00B9248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rsidR="00FF3F24" w:rsidRDefault="00FF3F24">
    <w:pPr>
      <w:pBdr>
        <w:top w:val="nil"/>
        <w:left w:val="nil"/>
        <w:bottom w:val="nil"/>
        <w:right w:val="nil"/>
        <w:between w:val="nil"/>
      </w:pBd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944"/>
    <w:multiLevelType w:val="multilevel"/>
    <w:tmpl w:val="5AA83464"/>
    <w:lvl w:ilvl="0">
      <w:start w:val="1"/>
      <w:numFmt w:val="decimal"/>
      <w:lvlText w:val="%1."/>
      <w:lvlJc w:val="left"/>
      <w:pPr>
        <w:ind w:left="360" w:hanging="360"/>
      </w:pPr>
      <w:rPr>
        <w:b/>
        <w:color w:val="000000"/>
      </w:rPr>
    </w:lvl>
    <w:lvl w:ilvl="1">
      <w:start w:val="1"/>
      <w:numFmt w:val="decimal"/>
      <w:lvlText w:val="%1.%2."/>
      <w:lvlJc w:val="left"/>
      <w:pPr>
        <w:ind w:left="992" w:firstLine="0"/>
      </w:pPr>
      <w:rPr>
        <w:rFonts w:ascii="Arial" w:eastAsia="Arial" w:hAnsi="Arial" w:cs="Arial"/>
        <w:b w:val="0"/>
        <w:color w:val="000000"/>
        <w:sz w:val="24"/>
        <w:szCs w:val="24"/>
      </w:rPr>
    </w:lvl>
    <w:lvl w:ilvl="2">
      <w:start w:val="1"/>
      <w:numFmt w:val="decimal"/>
      <w:lvlText w:val="%1.%2.%3."/>
      <w:lvlJc w:val="left"/>
      <w:pPr>
        <w:ind w:left="2267" w:hanging="566"/>
      </w:pPr>
      <w:rPr>
        <w:rFonts w:ascii="Arial" w:eastAsia="Arial" w:hAnsi="Arial" w:cs="Arial"/>
        <w:color w:val="000000"/>
        <w:sz w:val="24"/>
        <w:szCs w:val="24"/>
      </w:rPr>
    </w:lvl>
    <w:lvl w:ilvl="3">
      <w:start w:val="1"/>
      <w:numFmt w:val="decimal"/>
      <w:lvlText w:val="%1.%2.%3.%4."/>
      <w:lvlJc w:val="left"/>
      <w:pPr>
        <w:ind w:left="3826" w:hanging="1050"/>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FD2E97"/>
    <w:multiLevelType w:val="multilevel"/>
    <w:tmpl w:val="1EFE60C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19591293"/>
    <w:multiLevelType w:val="multilevel"/>
    <w:tmpl w:val="A7563FA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C756F9E"/>
    <w:multiLevelType w:val="multilevel"/>
    <w:tmpl w:val="89B0BD4C"/>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6C91898"/>
    <w:multiLevelType w:val="multilevel"/>
    <w:tmpl w:val="7FDEEC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A8753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DAF6B5D"/>
    <w:multiLevelType w:val="multilevel"/>
    <w:tmpl w:val="37C87ECA"/>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56204764"/>
    <w:multiLevelType w:val="multilevel"/>
    <w:tmpl w:val="0B700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8467B5"/>
    <w:multiLevelType w:val="multilevel"/>
    <w:tmpl w:val="B09856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6"/>
  </w:num>
  <w:num w:numId="6">
    <w:abstractNumId w:val="5"/>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F24"/>
    <w:rsid w:val="005847A3"/>
    <w:rsid w:val="00B9248F"/>
    <w:rsid w:val="00FF3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9874C"/>
  <w15:docId w15:val="{615D0458-2934-4AA1-9308-E0407D350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9"/>
      </w:numPr>
      <w:tabs>
        <w:tab w:val="clear" w:pos="720"/>
      </w:tabs>
      <w:adjustRightInd w:val="0"/>
      <w:spacing w:before="120" w:after="240" w:line="240" w:lineRule="auto"/>
      <w:ind w:left="357" w:hanging="357"/>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9"/>
      </w:numPr>
      <w:tabs>
        <w:tab w:val="left" w:pos="993"/>
      </w:tabs>
      <w:adjustRightInd w:val="0"/>
      <w:spacing w:before="120" w:after="120" w:line="240" w:lineRule="auto"/>
      <w:ind w:left="992" w:hanging="635"/>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9"/>
      </w:numPr>
      <w:adjustRightInd w:val="0"/>
      <w:spacing w:before="120" w:after="120" w:line="240" w:lineRule="auto"/>
      <w:ind w:hanging="807"/>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9"/>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9"/>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o8DBRIy9E4IzTQZs5dP5WuYeXQ==">AMUW2mUyCGnUOGMs9WItLOfHpuKlRSA77TQfOcrWryfJdK3ZY7JxHDFRhjcSZvv0UQaTxQ9e2MGr0Lof3rA6kAZ7ILAPA8VI9qNhPyUg5GTs3+aNG98JRINj+rGJrfGQgwMOnWLnvSMbiawcZDdRVefxTxHHLoJJ+s283lYJOVlgl3ScFtLWz7hCmzT2F+njOEsxoTYI1up1u8XV5+L0b8NDUzYoE1mZcBJUY3FBSfG2mo4FaBlS8mEl4ePuUlh2vICoUUwnacsQ4PlW7uH1Y7I0kgkKJirDXbx+EbE4PgfjX/tCKVYGvaB6MbrMU4fXMsevWpKfpFabV9INSXUsSIsWBBMQoQiB3WxoaQJZShdj9S/LVBrBs7aOV+RcBIZnwhIT/5WKJlp+vTd6o6BNcvXzI310tQB2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2680</Words>
  <Characters>15279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Fiona Ryan</cp:lastModifiedBy>
  <cp:revision>2</cp:revision>
  <dcterms:created xsi:type="dcterms:W3CDTF">2021-01-26T23:50:00Z</dcterms:created>
  <dcterms:modified xsi:type="dcterms:W3CDTF">2021-01-26T23:50:00Z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